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F615" w14:textId="7EA267E1" w:rsidR="00065846" w:rsidRDefault="00065846"/>
    <w:p w14:paraId="3778244A" w14:textId="171506F9" w:rsidR="00065846" w:rsidRDefault="00065846"/>
    <w:p w14:paraId="1CB93B00" w14:textId="09193FDA" w:rsidR="00065846" w:rsidRDefault="00065846"/>
    <w:p w14:paraId="28B3414C" w14:textId="159339A1" w:rsidR="00065846" w:rsidRPr="00065846" w:rsidRDefault="00065846">
      <w:pPr>
        <w:rPr>
          <w:b/>
          <w:bCs/>
          <w:sz w:val="24"/>
          <w:szCs w:val="24"/>
          <w:u w:val="single"/>
        </w:rPr>
      </w:pPr>
      <w:proofErr w:type="spellStart"/>
      <w:r w:rsidRPr="00065846">
        <w:rPr>
          <w:b/>
          <w:bCs/>
          <w:sz w:val="24"/>
          <w:szCs w:val="24"/>
          <w:u w:val="single"/>
        </w:rPr>
        <w:t>Lacon</w:t>
      </w:r>
      <w:proofErr w:type="spellEnd"/>
      <w:r w:rsidRPr="00065846">
        <w:rPr>
          <w:b/>
          <w:bCs/>
          <w:sz w:val="24"/>
          <w:szCs w:val="24"/>
          <w:u w:val="single"/>
        </w:rPr>
        <w:t xml:space="preserve"> Childe Examination Results 2022</w:t>
      </w:r>
    </w:p>
    <w:p w14:paraId="0474EB47" w14:textId="77777777" w:rsidR="00065846" w:rsidRPr="00065846" w:rsidRDefault="00065846">
      <w:pPr>
        <w:rPr>
          <w:b/>
          <w:bCs/>
        </w:rPr>
      </w:pPr>
    </w:p>
    <w:tbl>
      <w:tblPr>
        <w:tblStyle w:val="TableGrid"/>
        <w:tblW w:w="0" w:type="auto"/>
        <w:tblLook w:val="04A0" w:firstRow="1" w:lastRow="0" w:firstColumn="1" w:lastColumn="0" w:noHBand="0" w:noVBand="1"/>
      </w:tblPr>
      <w:tblGrid>
        <w:gridCol w:w="3098"/>
        <w:gridCol w:w="3180"/>
        <w:gridCol w:w="2738"/>
      </w:tblGrid>
      <w:tr w:rsidR="00065846" w:rsidRPr="00065846" w14:paraId="778CAC04" w14:textId="54954AE9" w:rsidTr="00065846">
        <w:tc>
          <w:tcPr>
            <w:tcW w:w="3098" w:type="dxa"/>
          </w:tcPr>
          <w:p w14:paraId="5E454B2C" w14:textId="5B5D889C" w:rsidR="00065846" w:rsidRPr="00065846" w:rsidRDefault="00065846" w:rsidP="00065846">
            <w:pPr>
              <w:rPr>
                <w:b/>
                <w:bCs/>
                <w:sz w:val="24"/>
                <w:szCs w:val="24"/>
              </w:rPr>
            </w:pPr>
            <w:r w:rsidRPr="00065846">
              <w:rPr>
                <w:b/>
                <w:bCs/>
                <w:sz w:val="24"/>
                <w:szCs w:val="24"/>
              </w:rPr>
              <w:t>Measure</w:t>
            </w:r>
          </w:p>
        </w:tc>
        <w:tc>
          <w:tcPr>
            <w:tcW w:w="3180" w:type="dxa"/>
          </w:tcPr>
          <w:p w14:paraId="2361BC97" w14:textId="045E0AFB" w:rsidR="00065846" w:rsidRPr="00065846" w:rsidRDefault="00065846" w:rsidP="00065846">
            <w:pPr>
              <w:rPr>
                <w:b/>
                <w:bCs/>
                <w:sz w:val="24"/>
                <w:szCs w:val="24"/>
              </w:rPr>
            </w:pPr>
            <w:r>
              <w:rPr>
                <w:b/>
                <w:bCs/>
                <w:sz w:val="24"/>
                <w:szCs w:val="24"/>
              </w:rPr>
              <w:t>School Figures</w:t>
            </w:r>
          </w:p>
        </w:tc>
        <w:tc>
          <w:tcPr>
            <w:tcW w:w="2738" w:type="dxa"/>
          </w:tcPr>
          <w:p w14:paraId="7E67A222" w14:textId="57D92B0E" w:rsidR="00065846" w:rsidRDefault="00065846" w:rsidP="00065846">
            <w:pPr>
              <w:rPr>
                <w:b/>
                <w:bCs/>
                <w:sz w:val="24"/>
                <w:szCs w:val="24"/>
              </w:rPr>
            </w:pPr>
            <w:r>
              <w:rPr>
                <w:b/>
                <w:bCs/>
                <w:sz w:val="24"/>
                <w:szCs w:val="24"/>
              </w:rPr>
              <w:t>National Figures – based on collaborative data</w:t>
            </w:r>
          </w:p>
        </w:tc>
      </w:tr>
      <w:tr w:rsidR="00065846" w:rsidRPr="00065846" w14:paraId="2DC464A2" w14:textId="68C3FC38" w:rsidTr="00065846">
        <w:tc>
          <w:tcPr>
            <w:tcW w:w="3098" w:type="dxa"/>
          </w:tcPr>
          <w:p w14:paraId="6AB01A60" w14:textId="095AE44E" w:rsidR="00065846" w:rsidRPr="00065846" w:rsidRDefault="00065846" w:rsidP="00065846">
            <w:pPr>
              <w:rPr>
                <w:sz w:val="24"/>
                <w:szCs w:val="24"/>
              </w:rPr>
            </w:pPr>
            <w:r>
              <w:rPr>
                <w:sz w:val="24"/>
                <w:szCs w:val="24"/>
              </w:rPr>
              <w:t>Progress 8</w:t>
            </w:r>
          </w:p>
        </w:tc>
        <w:tc>
          <w:tcPr>
            <w:tcW w:w="3180" w:type="dxa"/>
          </w:tcPr>
          <w:p w14:paraId="00F0B7B6" w14:textId="37FC0442" w:rsidR="00065846" w:rsidRPr="00065846" w:rsidRDefault="00065846" w:rsidP="00065846">
            <w:pPr>
              <w:rPr>
                <w:sz w:val="24"/>
                <w:szCs w:val="24"/>
              </w:rPr>
            </w:pPr>
            <w:r>
              <w:rPr>
                <w:sz w:val="24"/>
                <w:szCs w:val="24"/>
              </w:rPr>
              <w:t>0.29%</w:t>
            </w:r>
          </w:p>
        </w:tc>
        <w:tc>
          <w:tcPr>
            <w:tcW w:w="2738" w:type="dxa"/>
          </w:tcPr>
          <w:p w14:paraId="41AFD293" w14:textId="573C3E94" w:rsidR="00065846" w:rsidRPr="00065846" w:rsidRDefault="00065846" w:rsidP="00065846">
            <w:pPr>
              <w:rPr>
                <w:sz w:val="24"/>
                <w:szCs w:val="24"/>
              </w:rPr>
            </w:pPr>
            <w:r>
              <w:rPr>
                <w:sz w:val="24"/>
                <w:szCs w:val="24"/>
              </w:rPr>
              <w:t>-0.03%</w:t>
            </w:r>
          </w:p>
        </w:tc>
      </w:tr>
      <w:tr w:rsidR="00065846" w:rsidRPr="00065846" w14:paraId="329CC37E" w14:textId="112E3044" w:rsidTr="00065846">
        <w:tc>
          <w:tcPr>
            <w:tcW w:w="3098" w:type="dxa"/>
          </w:tcPr>
          <w:p w14:paraId="62557870" w14:textId="4CB5B4B6" w:rsidR="00065846" w:rsidRPr="00065846" w:rsidRDefault="00065846" w:rsidP="00065846">
            <w:pPr>
              <w:rPr>
                <w:sz w:val="24"/>
                <w:szCs w:val="24"/>
              </w:rPr>
            </w:pPr>
            <w:r>
              <w:rPr>
                <w:sz w:val="24"/>
                <w:szCs w:val="24"/>
              </w:rPr>
              <w:t>Attainment 8</w:t>
            </w:r>
          </w:p>
        </w:tc>
        <w:tc>
          <w:tcPr>
            <w:tcW w:w="3180" w:type="dxa"/>
          </w:tcPr>
          <w:p w14:paraId="03FA4103" w14:textId="37D19E8A" w:rsidR="00065846" w:rsidRPr="00065846" w:rsidRDefault="00065846" w:rsidP="00065846">
            <w:pPr>
              <w:rPr>
                <w:sz w:val="24"/>
                <w:szCs w:val="24"/>
              </w:rPr>
            </w:pPr>
            <w:r>
              <w:rPr>
                <w:sz w:val="24"/>
                <w:szCs w:val="24"/>
              </w:rPr>
              <w:t>5.41</w:t>
            </w:r>
          </w:p>
        </w:tc>
        <w:tc>
          <w:tcPr>
            <w:tcW w:w="2738" w:type="dxa"/>
          </w:tcPr>
          <w:p w14:paraId="33FE5288" w14:textId="7A968BE5" w:rsidR="00065846" w:rsidRPr="00065846" w:rsidRDefault="00065846" w:rsidP="00065846">
            <w:pPr>
              <w:rPr>
                <w:sz w:val="24"/>
                <w:szCs w:val="24"/>
              </w:rPr>
            </w:pPr>
            <w:r>
              <w:rPr>
                <w:sz w:val="24"/>
                <w:szCs w:val="24"/>
              </w:rPr>
              <w:t>4.9</w:t>
            </w:r>
          </w:p>
        </w:tc>
      </w:tr>
      <w:tr w:rsidR="00065846" w:rsidRPr="00065846" w14:paraId="453D053B" w14:textId="3EB0FD3A" w:rsidTr="00065846">
        <w:tc>
          <w:tcPr>
            <w:tcW w:w="3098" w:type="dxa"/>
          </w:tcPr>
          <w:p w14:paraId="4304837A" w14:textId="1255A9A8" w:rsidR="00065846" w:rsidRPr="00065846" w:rsidRDefault="00065846" w:rsidP="00065846">
            <w:pPr>
              <w:rPr>
                <w:sz w:val="24"/>
                <w:szCs w:val="24"/>
              </w:rPr>
            </w:pPr>
            <w:r>
              <w:rPr>
                <w:sz w:val="24"/>
                <w:szCs w:val="24"/>
              </w:rPr>
              <w:t>Standard Pass or above in English &amp; Maths</w:t>
            </w:r>
          </w:p>
        </w:tc>
        <w:tc>
          <w:tcPr>
            <w:tcW w:w="3180" w:type="dxa"/>
          </w:tcPr>
          <w:p w14:paraId="1F34BCD5" w14:textId="085BC32C" w:rsidR="00065846" w:rsidRPr="00065846" w:rsidRDefault="00065846" w:rsidP="00065846">
            <w:pPr>
              <w:rPr>
                <w:sz w:val="24"/>
                <w:szCs w:val="24"/>
              </w:rPr>
            </w:pPr>
            <w:r>
              <w:rPr>
                <w:sz w:val="24"/>
                <w:szCs w:val="24"/>
              </w:rPr>
              <w:t>81.5%</w:t>
            </w:r>
          </w:p>
        </w:tc>
        <w:tc>
          <w:tcPr>
            <w:tcW w:w="2738" w:type="dxa"/>
          </w:tcPr>
          <w:p w14:paraId="26EF8166" w14:textId="776E5FF7" w:rsidR="00065846" w:rsidRPr="00065846" w:rsidRDefault="00065846" w:rsidP="00065846">
            <w:pPr>
              <w:rPr>
                <w:sz w:val="24"/>
                <w:szCs w:val="24"/>
              </w:rPr>
            </w:pPr>
            <w:r>
              <w:rPr>
                <w:sz w:val="24"/>
                <w:szCs w:val="24"/>
              </w:rPr>
              <w:t>70%</w:t>
            </w:r>
          </w:p>
        </w:tc>
      </w:tr>
      <w:tr w:rsidR="00065846" w:rsidRPr="00065846" w14:paraId="27483141" w14:textId="4D43EC0A" w:rsidTr="00065846">
        <w:tc>
          <w:tcPr>
            <w:tcW w:w="3098" w:type="dxa"/>
          </w:tcPr>
          <w:p w14:paraId="50FE77B5" w14:textId="3D3DE034" w:rsidR="00065846" w:rsidRPr="00065846" w:rsidRDefault="00065846" w:rsidP="00065846">
            <w:pPr>
              <w:rPr>
                <w:sz w:val="24"/>
                <w:szCs w:val="24"/>
              </w:rPr>
            </w:pPr>
            <w:r>
              <w:rPr>
                <w:sz w:val="24"/>
                <w:szCs w:val="24"/>
              </w:rPr>
              <w:t>Standard pass or above in English</w:t>
            </w:r>
          </w:p>
        </w:tc>
        <w:tc>
          <w:tcPr>
            <w:tcW w:w="3180" w:type="dxa"/>
          </w:tcPr>
          <w:p w14:paraId="4D433B56" w14:textId="2A289794" w:rsidR="00065846" w:rsidRPr="00065846" w:rsidRDefault="00065846" w:rsidP="00065846">
            <w:pPr>
              <w:rPr>
                <w:sz w:val="24"/>
                <w:szCs w:val="24"/>
              </w:rPr>
            </w:pPr>
            <w:r>
              <w:rPr>
                <w:sz w:val="24"/>
                <w:szCs w:val="24"/>
              </w:rPr>
              <w:t>89.9%</w:t>
            </w:r>
          </w:p>
        </w:tc>
        <w:tc>
          <w:tcPr>
            <w:tcW w:w="2738" w:type="dxa"/>
          </w:tcPr>
          <w:p w14:paraId="41C30823" w14:textId="1312DAE1" w:rsidR="00065846" w:rsidRPr="00065846" w:rsidRDefault="00065846" w:rsidP="00065846">
            <w:pPr>
              <w:rPr>
                <w:sz w:val="24"/>
                <w:szCs w:val="24"/>
              </w:rPr>
            </w:pPr>
            <w:r>
              <w:rPr>
                <w:sz w:val="24"/>
                <w:szCs w:val="24"/>
              </w:rPr>
              <w:t>80%</w:t>
            </w:r>
          </w:p>
        </w:tc>
      </w:tr>
      <w:tr w:rsidR="00065846" w:rsidRPr="00065846" w14:paraId="31E71E01" w14:textId="721BEBA5" w:rsidTr="00065846">
        <w:tc>
          <w:tcPr>
            <w:tcW w:w="3098" w:type="dxa"/>
          </w:tcPr>
          <w:p w14:paraId="17964A61" w14:textId="63545543" w:rsidR="00065846" w:rsidRPr="00065846" w:rsidRDefault="00065846" w:rsidP="00065846">
            <w:pPr>
              <w:rPr>
                <w:sz w:val="24"/>
                <w:szCs w:val="24"/>
              </w:rPr>
            </w:pPr>
            <w:r>
              <w:rPr>
                <w:sz w:val="24"/>
                <w:szCs w:val="24"/>
              </w:rPr>
              <w:t>Standard pass or above in</w:t>
            </w:r>
            <w:r>
              <w:rPr>
                <w:sz w:val="24"/>
                <w:szCs w:val="24"/>
              </w:rPr>
              <w:t xml:space="preserve"> Maths</w:t>
            </w:r>
          </w:p>
        </w:tc>
        <w:tc>
          <w:tcPr>
            <w:tcW w:w="3180" w:type="dxa"/>
          </w:tcPr>
          <w:p w14:paraId="7BB034D1" w14:textId="3CBBABD5" w:rsidR="00065846" w:rsidRPr="00065846" w:rsidRDefault="00065846" w:rsidP="00065846">
            <w:pPr>
              <w:rPr>
                <w:sz w:val="24"/>
                <w:szCs w:val="24"/>
              </w:rPr>
            </w:pPr>
            <w:r>
              <w:rPr>
                <w:sz w:val="24"/>
                <w:szCs w:val="24"/>
              </w:rPr>
              <w:t>81.5%</w:t>
            </w:r>
          </w:p>
        </w:tc>
        <w:tc>
          <w:tcPr>
            <w:tcW w:w="2738" w:type="dxa"/>
          </w:tcPr>
          <w:p w14:paraId="342C1D57" w14:textId="09AA4B9C" w:rsidR="00065846" w:rsidRPr="00065846" w:rsidRDefault="00065846" w:rsidP="00065846">
            <w:pPr>
              <w:rPr>
                <w:sz w:val="24"/>
                <w:szCs w:val="24"/>
              </w:rPr>
            </w:pPr>
            <w:r>
              <w:rPr>
                <w:sz w:val="24"/>
                <w:szCs w:val="24"/>
              </w:rPr>
              <w:t>74%</w:t>
            </w:r>
          </w:p>
        </w:tc>
      </w:tr>
      <w:tr w:rsidR="00065846" w:rsidRPr="00065846" w14:paraId="63779AD8" w14:textId="1B6E6AF3" w:rsidTr="00065846">
        <w:tc>
          <w:tcPr>
            <w:tcW w:w="3098" w:type="dxa"/>
          </w:tcPr>
          <w:p w14:paraId="0A76CB62" w14:textId="7F216FB6" w:rsidR="00065846" w:rsidRPr="00065846" w:rsidRDefault="00065846" w:rsidP="00065846">
            <w:pPr>
              <w:rPr>
                <w:sz w:val="24"/>
                <w:szCs w:val="24"/>
              </w:rPr>
            </w:pPr>
            <w:r>
              <w:rPr>
                <w:sz w:val="24"/>
                <w:szCs w:val="24"/>
              </w:rPr>
              <w:t xml:space="preserve">5 or more standard passes or above including </w:t>
            </w:r>
            <w:r w:rsidR="007A0DBC">
              <w:rPr>
                <w:sz w:val="24"/>
                <w:szCs w:val="24"/>
              </w:rPr>
              <w:t>English &amp; Maths</w:t>
            </w:r>
          </w:p>
        </w:tc>
        <w:tc>
          <w:tcPr>
            <w:tcW w:w="3180" w:type="dxa"/>
          </w:tcPr>
          <w:p w14:paraId="0A6518DD" w14:textId="57C475AB" w:rsidR="00065846" w:rsidRPr="00065846" w:rsidRDefault="007A0DBC" w:rsidP="00065846">
            <w:pPr>
              <w:rPr>
                <w:sz w:val="24"/>
                <w:szCs w:val="24"/>
              </w:rPr>
            </w:pPr>
            <w:r>
              <w:rPr>
                <w:sz w:val="24"/>
                <w:szCs w:val="24"/>
              </w:rPr>
              <w:t>79%</w:t>
            </w:r>
          </w:p>
        </w:tc>
        <w:tc>
          <w:tcPr>
            <w:tcW w:w="2738" w:type="dxa"/>
          </w:tcPr>
          <w:p w14:paraId="7609A5AB" w14:textId="58ED9560" w:rsidR="00065846" w:rsidRPr="00065846" w:rsidRDefault="007A0DBC" w:rsidP="00065846">
            <w:pPr>
              <w:rPr>
                <w:sz w:val="24"/>
                <w:szCs w:val="24"/>
              </w:rPr>
            </w:pPr>
            <w:r>
              <w:rPr>
                <w:sz w:val="24"/>
                <w:szCs w:val="24"/>
              </w:rPr>
              <w:t>66%</w:t>
            </w:r>
          </w:p>
        </w:tc>
      </w:tr>
      <w:tr w:rsidR="00065846" w:rsidRPr="00065846" w14:paraId="4AD3B2B7" w14:textId="6B259691" w:rsidTr="00065846">
        <w:tc>
          <w:tcPr>
            <w:tcW w:w="3098" w:type="dxa"/>
          </w:tcPr>
          <w:p w14:paraId="7E7C3206" w14:textId="3640AD08" w:rsidR="00065846" w:rsidRPr="00065846" w:rsidRDefault="007A0DBC" w:rsidP="00065846">
            <w:pPr>
              <w:rPr>
                <w:sz w:val="24"/>
                <w:szCs w:val="24"/>
              </w:rPr>
            </w:pPr>
            <w:r>
              <w:rPr>
                <w:sz w:val="24"/>
                <w:szCs w:val="24"/>
              </w:rPr>
              <w:t>5 or more standard passes or above</w:t>
            </w:r>
          </w:p>
        </w:tc>
        <w:tc>
          <w:tcPr>
            <w:tcW w:w="3180" w:type="dxa"/>
          </w:tcPr>
          <w:p w14:paraId="7D97FD0C" w14:textId="4EE56BF8" w:rsidR="00065846" w:rsidRPr="00065846" w:rsidRDefault="007A0DBC" w:rsidP="00065846">
            <w:pPr>
              <w:rPr>
                <w:sz w:val="24"/>
                <w:szCs w:val="24"/>
              </w:rPr>
            </w:pPr>
            <w:r>
              <w:rPr>
                <w:sz w:val="24"/>
                <w:szCs w:val="24"/>
              </w:rPr>
              <w:t>74.58%</w:t>
            </w:r>
          </w:p>
        </w:tc>
        <w:tc>
          <w:tcPr>
            <w:tcW w:w="2738" w:type="dxa"/>
          </w:tcPr>
          <w:p w14:paraId="1C0E25D9" w14:textId="7AA2DAD5" w:rsidR="00065846" w:rsidRPr="00065846" w:rsidRDefault="007A0DBC" w:rsidP="00065846">
            <w:pPr>
              <w:rPr>
                <w:sz w:val="24"/>
                <w:szCs w:val="24"/>
              </w:rPr>
            </w:pPr>
            <w:r>
              <w:rPr>
                <w:sz w:val="24"/>
                <w:szCs w:val="24"/>
              </w:rPr>
              <w:t>50%</w:t>
            </w:r>
          </w:p>
        </w:tc>
      </w:tr>
      <w:tr w:rsidR="007A0DBC" w:rsidRPr="00065846" w14:paraId="650EF381" w14:textId="77777777" w:rsidTr="00065846">
        <w:tc>
          <w:tcPr>
            <w:tcW w:w="3098" w:type="dxa"/>
          </w:tcPr>
          <w:p w14:paraId="483C62F0" w14:textId="34A3569A" w:rsidR="007A0DBC" w:rsidRPr="00065846" w:rsidRDefault="007A0DBC" w:rsidP="00065846">
            <w:pPr>
              <w:rPr>
                <w:sz w:val="24"/>
                <w:szCs w:val="24"/>
              </w:rPr>
            </w:pPr>
            <w:r>
              <w:rPr>
                <w:sz w:val="24"/>
                <w:szCs w:val="24"/>
              </w:rPr>
              <w:t>5 or more passes</w:t>
            </w:r>
          </w:p>
        </w:tc>
        <w:tc>
          <w:tcPr>
            <w:tcW w:w="3180" w:type="dxa"/>
          </w:tcPr>
          <w:p w14:paraId="4FAC7ECF" w14:textId="03D5BD5A" w:rsidR="007A0DBC" w:rsidRPr="00065846" w:rsidRDefault="007A0DBC" w:rsidP="00065846">
            <w:pPr>
              <w:rPr>
                <w:sz w:val="24"/>
                <w:szCs w:val="24"/>
              </w:rPr>
            </w:pPr>
            <w:r>
              <w:rPr>
                <w:sz w:val="24"/>
                <w:szCs w:val="24"/>
              </w:rPr>
              <w:t>98.31%</w:t>
            </w:r>
          </w:p>
        </w:tc>
        <w:tc>
          <w:tcPr>
            <w:tcW w:w="2738" w:type="dxa"/>
          </w:tcPr>
          <w:p w14:paraId="27899B13" w14:textId="39CDCF22" w:rsidR="007A0DBC" w:rsidRPr="00065846" w:rsidRDefault="007A0DBC" w:rsidP="00065846">
            <w:pPr>
              <w:rPr>
                <w:sz w:val="24"/>
                <w:szCs w:val="24"/>
              </w:rPr>
            </w:pPr>
            <w:r>
              <w:rPr>
                <w:sz w:val="24"/>
                <w:szCs w:val="24"/>
              </w:rPr>
              <w:t>-</w:t>
            </w:r>
          </w:p>
        </w:tc>
      </w:tr>
      <w:tr w:rsidR="007A0DBC" w:rsidRPr="00065846" w14:paraId="51F1A6E6" w14:textId="77777777" w:rsidTr="00065846">
        <w:tc>
          <w:tcPr>
            <w:tcW w:w="3098" w:type="dxa"/>
          </w:tcPr>
          <w:p w14:paraId="26A854DC" w14:textId="28FA5A95" w:rsidR="007A0DBC" w:rsidRPr="00065846" w:rsidRDefault="007A0DBC" w:rsidP="00065846">
            <w:pPr>
              <w:rPr>
                <w:sz w:val="24"/>
                <w:szCs w:val="24"/>
              </w:rPr>
            </w:pPr>
            <w:r>
              <w:rPr>
                <w:sz w:val="24"/>
                <w:szCs w:val="24"/>
              </w:rPr>
              <w:t>Achieving ‘</w:t>
            </w:r>
            <w:proofErr w:type="spellStart"/>
            <w:r>
              <w:rPr>
                <w:sz w:val="24"/>
                <w:szCs w:val="24"/>
              </w:rPr>
              <w:t>Ebacc</w:t>
            </w:r>
            <w:proofErr w:type="spellEnd"/>
            <w:r>
              <w:rPr>
                <w:sz w:val="24"/>
                <w:szCs w:val="24"/>
              </w:rPr>
              <w:t>’ at a standard pass or above</w:t>
            </w:r>
          </w:p>
        </w:tc>
        <w:tc>
          <w:tcPr>
            <w:tcW w:w="3180" w:type="dxa"/>
          </w:tcPr>
          <w:p w14:paraId="22CC317F" w14:textId="65B76554" w:rsidR="007A0DBC" w:rsidRPr="00065846" w:rsidRDefault="007A0DBC" w:rsidP="00065846">
            <w:pPr>
              <w:rPr>
                <w:sz w:val="24"/>
                <w:szCs w:val="24"/>
              </w:rPr>
            </w:pPr>
            <w:r>
              <w:rPr>
                <w:sz w:val="24"/>
                <w:szCs w:val="24"/>
              </w:rPr>
              <w:t>21.8%</w:t>
            </w:r>
          </w:p>
        </w:tc>
        <w:tc>
          <w:tcPr>
            <w:tcW w:w="2738" w:type="dxa"/>
          </w:tcPr>
          <w:p w14:paraId="0E93AA1C" w14:textId="34CD390E" w:rsidR="007A0DBC" w:rsidRPr="00065846" w:rsidRDefault="007A0DBC" w:rsidP="00065846">
            <w:pPr>
              <w:rPr>
                <w:sz w:val="24"/>
                <w:szCs w:val="24"/>
              </w:rPr>
            </w:pPr>
            <w:r>
              <w:rPr>
                <w:sz w:val="24"/>
                <w:szCs w:val="24"/>
              </w:rPr>
              <w:t>26%</w:t>
            </w:r>
          </w:p>
        </w:tc>
      </w:tr>
      <w:tr w:rsidR="007A0DBC" w:rsidRPr="00065846" w14:paraId="75A30E64" w14:textId="77777777" w:rsidTr="00065846">
        <w:tc>
          <w:tcPr>
            <w:tcW w:w="3098" w:type="dxa"/>
          </w:tcPr>
          <w:p w14:paraId="0712942E" w14:textId="62F7669C" w:rsidR="007A0DBC" w:rsidRPr="00065846" w:rsidRDefault="007A0DBC" w:rsidP="00065846">
            <w:pPr>
              <w:rPr>
                <w:sz w:val="24"/>
                <w:szCs w:val="24"/>
              </w:rPr>
            </w:pPr>
            <w:r>
              <w:rPr>
                <w:sz w:val="24"/>
                <w:szCs w:val="24"/>
              </w:rPr>
              <w:t>‘</w:t>
            </w:r>
            <w:proofErr w:type="spellStart"/>
            <w:r>
              <w:rPr>
                <w:sz w:val="24"/>
                <w:szCs w:val="24"/>
              </w:rPr>
              <w:t>Ebacc</w:t>
            </w:r>
            <w:proofErr w:type="spellEnd"/>
            <w:r>
              <w:rPr>
                <w:sz w:val="24"/>
                <w:szCs w:val="24"/>
              </w:rPr>
              <w:t>’ Average Points Score</w:t>
            </w:r>
          </w:p>
        </w:tc>
        <w:tc>
          <w:tcPr>
            <w:tcW w:w="3180" w:type="dxa"/>
          </w:tcPr>
          <w:p w14:paraId="6ECB4D46" w14:textId="745F7A31" w:rsidR="007A0DBC" w:rsidRPr="00065846" w:rsidRDefault="007A0DBC" w:rsidP="00065846">
            <w:pPr>
              <w:rPr>
                <w:sz w:val="24"/>
                <w:szCs w:val="24"/>
              </w:rPr>
            </w:pPr>
            <w:r>
              <w:rPr>
                <w:sz w:val="24"/>
                <w:szCs w:val="24"/>
              </w:rPr>
              <w:t>4.66</w:t>
            </w:r>
          </w:p>
        </w:tc>
        <w:tc>
          <w:tcPr>
            <w:tcW w:w="2738" w:type="dxa"/>
          </w:tcPr>
          <w:p w14:paraId="086068D9" w14:textId="3C6A50B9" w:rsidR="007A0DBC" w:rsidRPr="00065846" w:rsidRDefault="007A0DBC" w:rsidP="00065846">
            <w:pPr>
              <w:rPr>
                <w:sz w:val="24"/>
                <w:szCs w:val="24"/>
              </w:rPr>
            </w:pPr>
            <w:r>
              <w:rPr>
                <w:sz w:val="24"/>
                <w:szCs w:val="24"/>
              </w:rPr>
              <w:t>4.3</w:t>
            </w:r>
          </w:p>
        </w:tc>
      </w:tr>
    </w:tbl>
    <w:p w14:paraId="10502D30" w14:textId="3B7C97FE" w:rsidR="0003417B" w:rsidRDefault="0003417B" w:rsidP="00065846">
      <w:pPr>
        <w:rPr>
          <w:sz w:val="24"/>
          <w:szCs w:val="24"/>
        </w:rPr>
      </w:pPr>
    </w:p>
    <w:p w14:paraId="1E672140" w14:textId="34564252" w:rsidR="00A53F0E" w:rsidRPr="00A53F0E" w:rsidRDefault="00A53F0E" w:rsidP="00A53F0E">
      <w:pPr>
        <w:jc w:val="both"/>
      </w:pPr>
      <w:r w:rsidRPr="00A53F0E">
        <w:t xml:space="preserve">Given the uneven impact of the pandemic on school and college performance data, you should avoid making simple comparisons between the performance data for one school or college and another, or to data from previous years. Please note that figures above are provisional. </w:t>
      </w:r>
    </w:p>
    <w:sectPr w:rsidR="00A53F0E" w:rsidRPr="00A53F0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42C93" w14:textId="77777777" w:rsidR="007A0DBC" w:rsidRDefault="007A0DBC" w:rsidP="007A0DBC">
      <w:pPr>
        <w:spacing w:after="0" w:line="240" w:lineRule="auto"/>
      </w:pPr>
      <w:r>
        <w:separator/>
      </w:r>
    </w:p>
  </w:endnote>
  <w:endnote w:type="continuationSeparator" w:id="0">
    <w:p w14:paraId="0F448AC1" w14:textId="77777777" w:rsidR="007A0DBC" w:rsidRDefault="007A0DBC" w:rsidP="007A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2625" w14:textId="77777777" w:rsidR="007A0DBC" w:rsidRDefault="007A0DBC" w:rsidP="007A0DBC">
      <w:pPr>
        <w:spacing w:after="0" w:line="240" w:lineRule="auto"/>
      </w:pPr>
      <w:r>
        <w:separator/>
      </w:r>
    </w:p>
  </w:footnote>
  <w:footnote w:type="continuationSeparator" w:id="0">
    <w:p w14:paraId="0208CA04" w14:textId="77777777" w:rsidR="007A0DBC" w:rsidRDefault="007A0DBC" w:rsidP="007A0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F6B9" w14:textId="407C0C60" w:rsidR="007A0DBC" w:rsidRDefault="00A53F0E">
    <w:pPr>
      <w:pStyle w:val="Header"/>
    </w:pPr>
    <w:r>
      <w:rPr>
        <w:noProof/>
      </w:rPr>
      <w:drawing>
        <wp:inline distT="0" distB="0" distL="0" distR="0" wp14:anchorId="36F11797" wp14:editId="0E31B2C3">
          <wp:extent cx="1485900" cy="528980"/>
          <wp:effectExtent l="0" t="0" r="0" b="4445"/>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659" cy="533166"/>
                  </a:xfrm>
                  <a:prstGeom prst="rect">
                    <a:avLst/>
                  </a:prstGeom>
                  <a:noFill/>
                  <a:ln>
                    <a:noFill/>
                  </a:ln>
                </pic:spPr>
              </pic:pic>
            </a:graphicData>
          </a:graphic>
        </wp:inline>
      </w:drawing>
    </w:r>
    <w:r w:rsidR="007A0DBC" w:rsidRPr="007A0DBC">
      <w:rPr>
        <w:noProof/>
      </w:rPr>
      <w:t xml:space="preserve"> </w:t>
    </w:r>
    <w:r w:rsidR="007A0DBC">
      <w:rPr>
        <w:noProof/>
      </w:rPr>
      <w:tab/>
      <w:t xml:space="preserve">                                                                                                </w:t>
    </w:r>
    <w:r>
      <w:rPr>
        <w:noProof/>
      </w:rPr>
      <w:drawing>
        <wp:inline distT="0" distB="0" distL="0" distR="0" wp14:anchorId="71F3A633" wp14:editId="2B3BDEE0">
          <wp:extent cx="1066800" cy="961736"/>
          <wp:effectExtent l="0" t="0" r="0" b="0"/>
          <wp:docPr id="25" name="Picture 25"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 whiteboar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644" cy="969709"/>
                  </a:xfrm>
                  <a:prstGeom prst="rect">
                    <a:avLst/>
                  </a:prstGeom>
                  <a:noFill/>
                  <a:ln>
                    <a:noFill/>
                  </a:ln>
                </pic:spPr>
              </pic:pic>
            </a:graphicData>
          </a:graphic>
        </wp:inline>
      </w:drawing>
    </w:r>
    <w:r w:rsidR="007A0DBC">
      <w:rPr>
        <w:noProof/>
      </w:rPr>
      <w:t xml:space="preserve">                                           </w:t>
    </w:r>
    <w:r w:rsidR="007A0DBC">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46"/>
    <w:rsid w:val="0003417B"/>
    <w:rsid w:val="00065846"/>
    <w:rsid w:val="001C0FD4"/>
    <w:rsid w:val="007A0DBC"/>
    <w:rsid w:val="008D6535"/>
    <w:rsid w:val="00A5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E6F1C1"/>
  <w15:chartTrackingRefBased/>
  <w15:docId w15:val="{6B47BA73-14E8-4E7A-A0F3-B80098CF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DBC"/>
  </w:style>
  <w:style w:type="paragraph" w:styleId="Footer">
    <w:name w:val="footer"/>
    <w:basedOn w:val="Normal"/>
    <w:link w:val="FooterChar"/>
    <w:uiPriority w:val="99"/>
    <w:unhideWhenUsed/>
    <w:rsid w:val="007A0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Lisa</dc:creator>
  <cp:keywords/>
  <dc:description/>
  <cp:lastModifiedBy>Bill, Lisa</cp:lastModifiedBy>
  <cp:revision>1</cp:revision>
  <dcterms:created xsi:type="dcterms:W3CDTF">2022-11-03T15:03:00Z</dcterms:created>
  <dcterms:modified xsi:type="dcterms:W3CDTF">2022-11-03T15:31:00Z</dcterms:modified>
</cp:coreProperties>
</file>